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B44" w:rsidRPr="00971DF3" w:rsidRDefault="003B2B44" w:rsidP="003B2B44">
      <w:pPr>
        <w:pStyle w:val="11"/>
        <w:spacing w:before="0"/>
        <w:ind w:firstLine="0"/>
        <w:jc w:val="center"/>
        <w:rPr>
          <w:b/>
          <w:sz w:val="24"/>
          <w:szCs w:val="24"/>
        </w:rPr>
      </w:pPr>
      <w:r w:rsidRPr="00971DF3">
        <w:rPr>
          <w:b/>
          <w:sz w:val="24"/>
          <w:szCs w:val="24"/>
        </w:rPr>
        <w:t xml:space="preserve">Розділ VI ЕМІСІЯ ТА ОБІГ ЦІННИХ ПАПЕРІВ проекту </w:t>
      </w:r>
      <w:r w:rsidRPr="00971DF3">
        <w:rPr>
          <w:b/>
          <w:bCs/>
          <w:sz w:val="24"/>
          <w:szCs w:val="24"/>
        </w:rPr>
        <w:t xml:space="preserve">Закону України </w:t>
      </w:r>
      <w:r w:rsidRPr="00971DF3">
        <w:rPr>
          <w:b/>
          <w:sz w:val="24"/>
          <w:szCs w:val="24"/>
        </w:rPr>
        <w:t xml:space="preserve"> «Про внесення змін до деяких законодавчих актів України щодо спрощення залучення інвестицій та запровадження нових фінансових інструментів» (далі – Законопроект</w:t>
      </w:r>
      <w:r w:rsidR="003C6B3E" w:rsidRPr="00971DF3">
        <w:rPr>
          <w:b/>
          <w:sz w:val="24"/>
          <w:szCs w:val="24"/>
        </w:rPr>
        <w:t xml:space="preserve"> № 2284</w:t>
      </w:r>
      <w:r w:rsidRPr="00971DF3">
        <w:rPr>
          <w:b/>
          <w:sz w:val="24"/>
          <w:szCs w:val="24"/>
        </w:rPr>
        <w:t>)</w:t>
      </w:r>
    </w:p>
    <w:p w:rsidR="003B2B44"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p>
    <w:p w:rsidR="003B2B44"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Вважаємо</w:t>
      </w:r>
      <w:r>
        <w:rPr>
          <w:rFonts w:ascii="Times New Roman" w:eastAsia="Times New Roman" w:hAnsi="Times New Roman" w:cs="Times New Roman"/>
          <w:sz w:val="24"/>
          <w:szCs w:val="24"/>
          <w:lang w:eastAsia="uk-UA"/>
        </w:rPr>
        <w:t xml:space="preserve">, що Розділ </w:t>
      </w:r>
      <w:r w:rsidRPr="003B2B44">
        <w:rPr>
          <w:rFonts w:ascii="Times New Roman" w:eastAsia="Times New Roman" w:hAnsi="Times New Roman" w:cs="Times New Roman"/>
          <w:sz w:val="24"/>
          <w:szCs w:val="24"/>
          <w:lang w:eastAsia="uk-UA"/>
        </w:rPr>
        <w:t>VI</w:t>
      </w:r>
      <w:r w:rsidRPr="00ED0225">
        <w:rPr>
          <w:rFonts w:ascii="Times New Roman" w:eastAsia="Times New Roman" w:hAnsi="Times New Roman" w:cs="Times New Roman"/>
          <w:sz w:val="24"/>
          <w:szCs w:val="24"/>
          <w:lang w:eastAsia="uk-UA"/>
        </w:rPr>
        <w:t xml:space="preserve"> Законопроекту</w:t>
      </w:r>
      <w:r w:rsidR="003C6B3E">
        <w:rPr>
          <w:rFonts w:ascii="Times New Roman" w:eastAsia="Times New Roman" w:hAnsi="Times New Roman" w:cs="Times New Roman"/>
          <w:sz w:val="24"/>
          <w:szCs w:val="24"/>
          <w:lang w:eastAsia="uk-UA"/>
        </w:rPr>
        <w:t xml:space="preserve"> № 2284</w:t>
      </w:r>
      <w:r w:rsidRPr="00ED0225">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t>не забезпечу</w:t>
      </w:r>
      <w:r w:rsidR="007B17C9">
        <w:rPr>
          <w:rFonts w:ascii="Times New Roman" w:eastAsia="Times New Roman" w:hAnsi="Times New Roman" w:cs="Times New Roman"/>
          <w:sz w:val="24"/>
          <w:szCs w:val="24"/>
          <w:lang w:eastAsia="uk-UA"/>
        </w:rPr>
        <w:t>є</w:t>
      </w:r>
      <w:r>
        <w:rPr>
          <w:rFonts w:ascii="Times New Roman" w:eastAsia="Times New Roman" w:hAnsi="Times New Roman" w:cs="Times New Roman"/>
          <w:sz w:val="24"/>
          <w:szCs w:val="24"/>
          <w:lang w:eastAsia="uk-UA"/>
        </w:rPr>
        <w:t xml:space="preserve"> виконання цілей</w:t>
      </w:r>
      <w:r w:rsidR="007B17C9">
        <w:rPr>
          <w:rFonts w:ascii="Times New Roman" w:eastAsia="Times New Roman" w:hAnsi="Times New Roman" w:cs="Times New Roman"/>
          <w:sz w:val="24"/>
          <w:szCs w:val="24"/>
          <w:lang w:eastAsia="uk-UA"/>
        </w:rPr>
        <w:t xml:space="preserve">, що </w:t>
      </w:r>
      <w:r>
        <w:rPr>
          <w:rFonts w:ascii="Times New Roman" w:eastAsia="Times New Roman" w:hAnsi="Times New Roman" w:cs="Times New Roman"/>
          <w:sz w:val="24"/>
          <w:szCs w:val="24"/>
          <w:lang w:eastAsia="uk-UA"/>
        </w:rPr>
        <w:t xml:space="preserve"> </w:t>
      </w:r>
      <w:bookmarkStart w:id="0" w:name="_GoBack"/>
      <w:r>
        <w:rPr>
          <w:rFonts w:ascii="Times New Roman" w:eastAsia="Times New Roman" w:hAnsi="Times New Roman" w:cs="Times New Roman"/>
          <w:sz w:val="24"/>
          <w:szCs w:val="24"/>
          <w:lang w:eastAsia="uk-UA"/>
        </w:rPr>
        <w:t>заявлен</w:t>
      </w:r>
      <w:r w:rsidR="007B17C9">
        <w:rPr>
          <w:rFonts w:ascii="Times New Roman" w:eastAsia="Times New Roman" w:hAnsi="Times New Roman" w:cs="Times New Roman"/>
          <w:sz w:val="24"/>
          <w:szCs w:val="24"/>
          <w:lang w:eastAsia="uk-UA"/>
        </w:rPr>
        <w:t xml:space="preserve">і у назві проект закону, а саме: </w:t>
      </w:r>
      <w:r>
        <w:rPr>
          <w:rFonts w:ascii="Times New Roman" w:eastAsia="Times New Roman" w:hAnsi="Times New Roman" w:cs="Times New Roman"/>
          <w:sz w:val="24"/>
          <w:szCs w:val="24"/>
          <w:lang w:eastAsia="uk-UA"/>
        </w:rPr>
        <w:t xml:space="preserve">спрощення залучення інвестицій та запровадженні </w:t>
      </w:r>
      <w:bookmarkEnd w:id="0"/>
      <w:r>
        <w:rPr>
          <w:rFonts w:ascii="Times New Roman" w:eastAsia="Times New Roman" w:hAnsi="Times New Roman" w:cs="Times New Roman"/>
          <w:sz w:val="24"/>
          <w:szCs w:val="24"/>
          <w:lang w:eastAsia="uk-UA"/>
        </w:rPr>
        <w:t>нових фінансових інструментів.</w:t>
      </w:r>
    </w:p>
    <w:p w:rsidR="007B17C9" w:rsidRDefault="002B04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Авторами Законопроекту</w:t>
      </w:r>
      <w:r w:rsidR="003C6B3E">
        <w:rPr>
          <w:rFonts w:ascii="Times New Roman" w:eastAsia="Times New Roman" w:hAnsi="Times New Roman" w:cs="Times New Roman"/>
          <w:sz w:val="24"/>
          <w:szCs w:val="24"/>
          <w:lang w:eastAsia="uk-UA"/>
        </w:rPr>
        <w:t xml:space="preserve"> №2284</w:t>
      </w:r>
      <w:r>
        <w:rPr>
          <w:rFonts w:ascii="Times New Roman" w:eastAsia="Times New Roman" w:hAnsi="Times New Roman" w:cs="Times New Roman"/>
          <w:sz w:val="24"/>
          <w:szCs w:val="24"/>
          <w:lang w:eastAsia="uk-UA"/>
        </w:rPr>
        <w:t xml:space="preserve"> </w:t>
      </w:r>
      <w:r w:rsidR="003B2B44" w:rsidRPr="00ED0225">
        <w:rPr>
          <w:rFonts w:ascii="Times New Roman" w:eastAsia="Times New Roman" w:hAnsi="Times New Roman" w:cs="Times New Roman"/>
          <w:sz w:val="24"/>
          <w:szCs w:val="24"/>
          <w:lang w:eastAsia="uk-UA"/>
        </w:rPr>
        <w:t xml:space="preserve">не </w:t>
      </w:r>
      <w:r w:rsidR="007B17C9">
        <w:rPr>
          <w:rFonts w:ascii="Times New Roman" w:eastAsia="Times New Roman" w:hAnsi="Times New Roman" w:cs="Times New Roman"/>
          <w:sz w:val="24"/>
          <w:szCs w:val="24"/>
          <w:lang w:eastAsia="uk-UA"/>
        </w:rPr>
        <w:t>було вказано</w:t>
      </w:r>
      <w:r w:rsidR="003B2B44" w:rsidRPr="00ED0225">
        <w:rPr>
          <w:rFonts w:ascii="Times New Roman" w:eastAsia="Times New Roman" w:hAnsi="Times New Roman" w:cs="Times New Roman"/>
          <w:sz w:val="24"/>
          <w:szCs w:val="24"/>
          <w:lang w:eastAsia="uk-UA"/>
        </w:rPr>
        <w:t xml:space="preserve"> у пояснювальній записці відповідно до яких актів </w:t>
      </w:r>
      <w:r w:rsidR="007B17C9" w:rsidRPr="00ED0225">
        <w:rPr>
          <w:rFonts w:ascii="Times New Roman" w:eastAsia="Times New Roman" w:hAnsi="Times New Roman" w:cs="Times New Roman"/>
          <w:sz w:val="24"/>
          <w:szCs w:val="24"/>
          <w:lang w:eastAsia="uk-UA"/>
        </w:rPr>
        <w:t>Є</w:t>
      </w:r>
      <w:r w:rsidR="007B17C9">
        <w:rPr>
          <w:rFonts w:ascii="Times New Roman" w:eastAsia="Times New Roman" w:hAnsi="Times New Roman" w:cs="Times New Roman"/>
          <w:sz w:val="24"/>
          <w:szCs w:val="24"/>
          <w:lang w:eastAsia="uk-UA"/>
        </w:rPr>
        <w:t>вропейсько</w:t>
      </w:r>
      <w:r w:rsidR="007B17C9">
        <w:rPr>
          <w:rFonts w:ascii="Times New Roman" w:eastAsia="Times New Roman" w:hAnsi="Times New Roman" w:cs="Times New Roman"/>
          <w:sz w:val="24"/>
          <w:szCs w:val="24"/>
          <w:lang w:eastAsia="uk-UA"/>
        </w:rPr>
        <w:t>го</w:t>
      </w:r>
      <w:r w:rsidR="007B17C9">
        <w:rPr>
          <w:rFonts w:ascii="Times New Roman" w:eastAsia="Times New Roman" w:hAnsi="Times New Roman" w:cs="Times New Roman"/>
          <w:sz w:val="24"/>
          <w:szCs w:val="24"/>
          <w:lang w:eastAsia="uk-UA"/>
        </w:rPr>
        <w:t xml:space="preserve"> союз</w:t>
      </w:r>
      <w:r w:rsidR="007B17C9">
        <w:rPr>
          <w:rFonts w:ascii="Times New Roman" w:eastAsia="Times New Roman" w:hAnsi="Times New Roman" w:cs="Times New Roman"/>
          <w:sz w:val="24"/>
          <w:szCs w:val="24"/>
          <w:lang w:eastAsia="uk-UA"/>
        </w:rPr>
        <w:t>у</w:t>
      </w:r>
      <w:r w:rsidR="007B17C9">
        <w:rPr>
          <w:rFonts w:ascii="Times New Roman" w:eastAsia="Times New Roman" w:hAnsi="Times New Roman" w:cs="Times New Roman"/>
          <w:sz w:val="24"/>
          <w:szCs w:val="24"/>
          <w:lang w:eastAsia="uk-UA"/>
        </w:rPr>
        <w:t xml:space="preserve"> (далі - ЄС)</w:t>
      </w:r>
      <w:r w:rsidR="007B17C9" w:rsidRPr="00ED0225">
        <w:rPr>
          <w:rFonts w:ascii="Times New Roman" w:eastAsia="Times New Roman" w:hAnsi="Times New Roman" w:cs="Times New Roman"/>
          <w:sz w:val="24"/>
          <w:szCs w:val="24"/>
          <w:lang w:eastAsia="uk-UA"/>
        </w:rPr>
        <w:t xml:space="preserve"> </w:t>
      </w:r>
      <w:r w:rsidR="007B17C9">
        <w:rPr>
          <w:rFonts w:ascii="Times New Roman" w:eastAsia="Times New Roman" w:hAnsi="Times New Roman" w:cs="Times New Roman"/>
          <w:sz w:val="24"/>
          <w:szCs w:val="24"/>
          <w:lang w:eastAsia="uk-UA"/>
        </w:rPr>
        <w:t>викладений</w:t>
      </w:r>
      <w:r w:rsidR="003B2B44" w:rsidRPr="00ED0225">
        <w:rPr>
          <w:rFonts w:ascii="Times New Roman" w:eastAsia="Times New Roman" w:hAnsi="Times New Roman" w:cs="Times New Roman"/>
          <w:sz w:val="24"/>
          <w:szCs w:val="24"/>
          <w:lang w:eastAsia="uk-UA"/>
        </w:rPr>
        <w:t xml:space="preserve"> це</w:t>
      </w:r>
      <w:r w:rsidR="007B17C9">
        <w:rPr>
          <w:rFonts w:ascii="Times New Roman" w:eastAsia="Times New Roman" w:hAnsi="Times New Roman" w:cs="Times New Roman"/>
          <w:sz w:val="24"/>
          <w:szCs w:val="24"/>
          <w:lang w:eastAsia="uk-UA"/>
        </w:rPr>
        <w:t>й</w:t>
      </w:r>
      <w:r w:rsidR="003B2B44" w:rsidRPr="00ED0225">
        <w:rPr>
          <w:rFonts w:ascii="Times New Roman" w:eastAsia="Times New Roman" w:hAnsi="Times New Roman" w:cs="Times New Roman"/>
          <w:sz w:val="24"/>
          <w:szCs w:val="24"/>
          <w:lang w:eastAsia="uk-UA"/>
        </w:rPr>
        <w:t xml:space="preserve"> розділ Законопроекту. У </w:t>
      </w:r>
      <w:r w:rsidR="007B17C9">
        <w:rPr>
          <w:rFonts w:ascii="Times New Roman" w:eastAsia="Times New Roman" w:hAnsi="Times New Roman" w:cs="Times New Roman"/>
          <w:sz w:val="24"/>
          <w:szCs w:val="24"/>
          <w:lang w:eastAsia="uk-UA"/>
        </w:rPr>
        <w:t>ЄС</w:t>
      </w:r>
      <w:r w:rsidR="003B2B44" w:rsidRPr="00ED0225">
        <w:rPr>
          <w:rFonts w:ascii="Times New Roman" w:eastAsia="Times New Roman" w:hAnsi="Times New Roman" w:cs="Times New Roman"/>
          <w:sz w:val="24"/>
          <w:szCs w:val="24"/>
          <w:lang w:eastAsia="uk-UA"/>
        </w:rPr>
        <w:t xml:space="preserve"> актом</w:t>
      </w:r>
      <w:r w:rsidR="007B17C9">
        <w:rPr>
          <w:rFonts w:ascii="Times New Roman" w:eastAsia="Times New Roman" w:hAnsi="Times New Roman" w:cs="Times New Roman"/>
          <w:sz w:val="24"/>
          <w:szCs w:val="24"/>
          <w:lang w:eastAsia="uk-UA"/>
        </w:rPr>
        <w:t>, що регулює питання емісії цінних паперів,</w:t>
      </w:r>
      <w:r w:rsidR="003B2B44" w:rsidRPr="00ED0225">
        <w:rPr>
          <w:rFonts w:ascii="Times New Roman" w:eastAsia="Times New Roman" w:hAnsi="Times New Roman" w:cs="Times New Roman"/>
          <w:sz w:val="24"/>
          <w:szCs w:val="24"/>
          <w:lang w:eastAsia="uk-UA"/>
        </w:rPr>
        <w:t xml:space="preserve"> є Регламент Європейського Парламенту та Ради ЄС 2017/1129 від 14.06.2017 року про проспекти, що маються бути оприлюднені у зв’язку із публічною пропозицією цінних паперів або допущення їх до обігу на регульованому ринку та скасування Директиви 2003/71/WE (далі – Регламент 2017/1129). </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Регламент 2017/1129 регулює відносини, що виникають під час залучення підприємствами капіталу </w:t>
      </w:r>
      <w:r w:rsidR="007B17C9">
        <w:rPr>
          <w:rFonts w:ascii="Times New Roman" w:eastAsia="Times New Roman" w:hAnsi="Times New Roman" w:cs="Times New Roman"/>
          <w:sz w:val="24"/>
          <w:szCs w:val="24"/>
          <w:lang w:eastAsia="uk-UA"/>
        </w:rPr>
        <w:t xml:space="preserve">виключно </w:t>
      </w:r>
      <w:r w:rsidRPr="00ED0225">
        <w:rPr>
          <w:rFonts w:ascii="Times New Roman" w:eastAsia="Times New Roman" w:hAnsi="Times New Roman" w:cs="Times New Roman"/>
          <w:sz w:val="24"/>
          <w:szCs w:val="24"/>
          <w:lang w:eastAsia="uk-UA"/>
        </w:rPr>
        <w:t xml:space="preserve">шляхом </w:t>
      </w:r>
      <w:r w:rsidRPr="00ED0225">
        <w:rPr>
          <w:rFonts w:ascii="Times New Roman" w:eastAsia="Times New Roman" w:hAnsi="Times New Roman" w:cs="Times New Roman"/>
          <w:sz w:val="24"/>
          <w:szCs w:val="24"/>
          <w:u w:val="single"/>
          <w:lang w:eastAsia="uk-UA"/>
        </w:rPr>
        <w:t>публічної пропозиції цінних паперів</w:t>
      </w:r>
      <w:r w:rsidRPr="00ED0225">
        <w:rPr>
          <w:rFonts w:ascii="Times New Roman" w:eastAsia="Times New Roman" w:hAnsi="Times New Roman" w:cs="Times New Roman"/>
          <w:sz w:val="24"/>
          <w:szCs w:val="24"/>
          <w:lang w:eastAsia="uk-UA"/>
        </w:rPr>
        <w:t>, а також встановлює процедури и правила, яких повинні дотримуватись такі підприємства під час складання, подання на затвердження до уповноваженого фінансового регулятора та розповсюдження проспекту, оприлюдненого у зв’язку із публічною пропозицією цінних паперів, або у випадку допущення цінних паперів таких підприємств до обігу на фондовій біржі.</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Метою </w:t>
      </w:r>
      <w:r w:rsidR="007B17C9">
        <w:rPr>
          <w:rFonts w:ascii="Times New Roman" w:eastAsia="Times New Roman" w:hAnsi="Times New Roman" w:cs="Times New Roman"/>
          <w:sz w:val="24"/>
          <w:szCs w:val="24"/>
          <w:lang w:eastAsia="uk-UA"/>
        </w:rPr>
        <w:t>прийняття Регламенту 2017/1129 було</w:t>
      </w:r>
      <w:r w:rsidRPr="00ED0225">
        <w:rPr>
          <w:rFonts w:ascii="Times New Roman" w:eastAsia="Times New Roman" w:hAnsi="Times New Roman" w:cs="Times New Roman"/>
          <w:sz w:val="24"/>
          <w:szCs w:val="24"/>
          <w:lang w:eastAsia="uk-UA"/>
        </w:rPr>
        <w:t xml:space="preserve"> наближення створення об’єднаного союзного ринку капіталу країн-учасниць ЄС, а також спрощення доступу підприємств, особливо малих та середніх, до різних форм фінансування, зниження витрати на залучення капіталу, скасування надмірних бюрократичних бар’єрів та надання можливості інвесторам приймати рішення щодо інвестування на підставі інформації, викладеній в зрозумілій, легкій для аналізу і лаконічній формі.</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У ЄС констатують, що малим та середнім підприємствам все ще ускладнений доступ до коштів на ринках капіталу (стосується публічних випусків цінних паперів) через невиконання або неможливість виконання обов’язків оприлюднення інформації про свою діяльність, в рамках публічних відносин з інвесторами, у зв’язку із недостатнім рівнем знань, досвіду та інформованості про такі вимоги; високі кошти ведення та обслуговування діяльності на регульованому ринку (фондовій біржі); низький попит зі сторони інвесторів (колективних та індивідуальних) на цінні папери, емітовані європейськими підприємствами. </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Регламент  2017/1129 зобов’язує емітента у випадку публічного розміщення цінних паперів або допуску до торгів на регульованому ринку розробити  та затвердити в національного регулятора проспект емісії.</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Регламент</w:t>
      </w:r>
      <w:r w:rsidR="003C6B3E">
        <w:rPr>
          <w:rFonts w:ascii="Times New Roman" w:eastAsia="Times New Roman" w:hAnsi="Times New Roman" w:cs="Times New Roman"/>
          <w:sz w:val="24"/>
          <w:szCs w:val="24"/>
          <w:lang w:eastAsia="uk-UA"/>
        </w:rPr>
        <w:t xml:space="preserve"> </w:t>
      </w:r>
      <w:r w:rsidR="003C6B3E" w:rsidRPr="00ED0225">
        <w:rPr>
          <w:rFonts w:ascii="Times New Roman" w:eastAsia="Times New Roman" w:hAnsi="Times New Roman" w:cs="Times New Roman"/>
          <w:sz w:val="24"/>
          <w:szCs w:val="24"/>
          <w:lang w:eastAsia="uk-UA"/>
        </w:rPr>
        <w:t xml:space="preserve">2017/1129 </w:t>
      </w:r>
      <w:r w:rsidRPr="00ED0225">
        <w:rPr>
          <w:rFonts w:ascii="Times New Roman" w:eastAsia="Times New Roman" w:hAnsi="Times New Roman" w:cs="Times New Roman"/>
          <w:sz w:val="24"/>
          <w:szCs w:val="24"/>
          <w:lang w:eastAsia="uk-UA"/>
        </w:rPr>
        <w:t xml:space="preserve"> не застосовується, зокрема, якщо пропозиція придбати цінні папери робиться менше, ніж 150 особам, або якщо запропонована вартість таких цінних паперів менша, ніж 1 млн. євро</w:t>
      </w:r>
      <w:r w:rsidR="007B17C9">
        <w:rPr>
          <w:rFonts w:ascii="Times New Roman" w:eastAsia="Times New Roman" w:hAnsi="Times New Roman" w:cs="Times New Roman"/>
          <w:sz w:val="24"/>
          <w:szCs w:val="24"/>
          <w:lang w:eastAsia="uk-UA"/>
        </w:rPr>
        <w:t xml:space="preserve"> та така емісія здійснюється не частіше одного разу на рік</w:t>
      </w:r>
      <w:r w:rsidRPr="00ED0225">
        <w:rPr>
          <w:rFonts w:ascii="Times New Roman" w:eastAsia="Times New Roman" w:hAnsi="Times New Roman" w:cs="Times New Roman"/>
          <w:sz w:val="24"/>
          <w:szCs w:val="24"/>
          <w:lang w:eastAsia="uk-UA"/>
        </w:rPr>
        <w:t>.</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Цей Регламент </w:t>
      </w:r>
      <w:r w:rsidR="003C6B3E" w:rsidRPr="00ED0225">
        <w:rPr>
          <w:rFonts w:ascii="Times New Roman" w:eastAsia="Times New Roman" w:hAnsi="Times New Roman" w:cs="Times New Roman"/>
          <w:sz w:val="24"/>
          <w:szCs w:val="24"/>
          <w:lang w:eastAsia="uk-UA"/>
        </w:rPr>
        <w:t xml:space="preserve">2017/1129 </w:t>
      </w:r>
      <w:r w:rsidRPr="00ED0225">
        <w:rPr>
          <w:rFonts w:ascii="Times New Roman" w:eastAsia="Times New Roman" w:hAnsi="Times New Roman" w:cs="Times New Roman"/>
          <w:sz w:val="24"/>
          <w:szCs w:val="24"/>
          <w:lang w:eastAsia="uk-UA"/>
        </w:rPr>
        <w:t>також не регулює питання приватних розміщень</w:t>
      </w:r>
      <w:r w:rsidR="003C6B3E">
        <w:rPr>
          <w:rFonts w:ascii="Times New Roman" w:eastAsia="Times New Roman" w:hAnsi="Times New Roman" w:cs="Times New Roman"/>
          <w:sz w:val="24"/>
          <w:szCs w:val="24"/>
          <w:lang w:eastAsia="uk-UA"/>
        </w:rPr>
        <w:t xml:space="preserve"> цінних паперів (приватних випусків)</w:t>
      </w:r>
      <w:r w:rsidRPr="00ED0225">
        <w:rPr>
          <w:rFonts w:ascii="Times New Roman" w:eastAsia="Times New Roman" w:hAnsi="Times New Roman" w:cs="Times New Roman"/>
          <w:sz w:val="24"/>
          <w:szCs w:val="24"/>
          <w:lang w:eastAsia="uk-UA"/>
        </w:rPr>
        <w:t>,</w:t>
      </w:r>
      <w:r w:rsidR="003C6B3E">
        <w:rPr>
          <w:rFonts w:ascii="Times New Roman" w:eastAsia="Times New Roman" w:hAnsi="Times New Roman" w:cs="Times New Roman"/>
          <w:sz w:val="24"/>
          <w:szCs w:val="24"/>
          <w:lang w:eastAsia="uk-UA"/>
        </w:rPr>
        <w:t xml:space="preserve"> оскільки</w:t>
      </w:r>
      <w:r w:rsidRPr="00ED0225">
        <w:rPr>
          <w:rFonts w:ascii="Times New Roman" w:eastAsia="Times New Roman" w:hAnsi="Times New Roman" w:cs="Times New Roman"/>
          <w:sz w:val="24"/>
          <w:szCs w:val="24"/>
          <w:lang w:eastAsia="uk-UA"/>
        </w:rPr>
        <w:t xml:space="preserve"> це є предметом регулювання національного законодавства країн-учасниць.</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Згідно з Регламентом</w:t>
      </w:r>
      <w:r w:rsidR="003C6B3E">
        <w:rPr>
          <w:rFonts w:ascii="Times New Roman" w:eastAsia="Times New Roman" w:hAnsi="Times New Roman" w:cs="Times New Roman"/>
          <w:sz w:val="24"/>
          <w:szCs w:val="24"/>
          <w:lang w:eastAsia="uk-UA"/>
        </w:rPr>
        <w:t xml:space="preserve"> </w:t>
      </w:r>
      <w:r w:rsidR="003C6B3E" w:rsidRPr="00ED0225">
        <w:rPr>
          <w:rFonts w:ascii="Times New Roman" w:eastAsia="Times New Roman" w:hAnsi="Times New Roman" w:cs="Times New Roman"/>
          <w:sz w:val="24"/>
          <w:szCs w:val="24"/>
          <w:lang w:eastAsia="uk-UA"/>
        </w:rPr>
        <w:t>2017/1129</w:t>
      </w:r>
      <w:r w:rsidRPr="00ED0225">
        <w:rPr>
          <w:rFonts w:ascii="Times New Roman" w:eastAsia="Times New Roman" w:hAnsi="Times New Roman" w:cs="Times New Roman"/>
          <w:sz w:val="24"/>
          <w:szCs w:val="24"/>
          <w:lang w:eastAsia="uk-UA"/>
        </w:rPr>
        <w:t>, національне законодавство може вимагати розкриття інформації щодо тих транзакцій, які не покриваються Регламентом</w:t>
      </w:r>
      <w:r w:rsidR="003C6B3E">
        <w:rPr>
          <w:rFonts w:ascii="Times New Roman" w:eastAsia="Times New Roman" w:hAnsi="Times New Roman" w:cs="Times New Roman"/>
          <w:sz w:val="24"/>
          <w:szCs w:val="24"/>
          <w:lang w:eastAsia="uk-UA"/>
        </w:rPr>
        <w:t xml:space="preserve"> </w:t>
      </w:r>
      <w:r w:rsidR="003C6B3E" w:rsidRPr="00ED0225">
        <w:rPr>
          <w:rFonts w:ascii="Times New Roman" w:eastAsia="Times New Roman" w:hAnsi="Times New Roman" w:cs="Times New Roman"/>
          <w:sz w:val="24"/>
          <w:szCs w:val="24"/>
          <w:lang w:eastAsia="uk-UA"/>
        </w:rPr>
        <w:t>2017/1129</w:t>
      </w:r>
      <w:r w:rsidRPr="00ED0225">
        <w:rPr>
          <w:rFonts w:ascii="Times New Roman" w:eastAsia="Times New Roman" w:hAnsi="Times New Roman" w:cs="Times New Roman"/>
          <w:sz w:val="24"/>
          <w:szCs w:val="24"/>
          <w:lang w:eastAsia="uk-UA"/>
        </w:rPr>
        <w:t>, за умови, що це не буде надто обтяжливим для компаній.</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Якщо розглянути приклад найближчого сусіда - </w:t>
      </w:r>
      <w:r w:rsidRPr="003C6B3E">
        <w:rPr>
          <w:rFonts w:ascii="Times New Roman" w:eastAsia="Times New Roman" w:hAnsi="Times New Roman" w:cs="Times New Roman"/>
          <w:b/>
          <w:sz w:val="24"/>
          <w:szCs w:val="24"/>
          <w:lang w:eastAsia="uk-UA"/>
        </w:rPr>
        <w:t>Польщі</w:t>
      </w:r>
      <w:r w:rsidRPr="00ED0225">
        <w:rPr>
          <w:rFonts w:ascii="Times New Roman" w:eastAsia="Times New Roman" w:hAnsi="Times New Roman" w:cs="Times New Roman"/>
          <w:sz w:val="24"/>
          <w:szCs w:val="24"/>
          <w:lang w:eastAsia="uk-UA"/>
        </w:rPr>
        <w:t>, яка за майже такий самий період незалежності мала змогу розбудувати ринок цінних паперів</w:t>
      </w:r>
      <w:r w:rsidRPr="00ED0225">
        <w:rPr>
          <w:rFonts w:ascii="Times New Roman" w:eastAsia="Times New Roman" w:hAnsi="Times New Roman" w:cs="Times New Roman"/>
          <w:sz w:val="24"/>
          <w:szCs w:val="24"/>
          <w:lang w:val="pl-PL" w:eastAsia="uk-UA"/>
        </w:rPr>
        <w:t xml:space="preserve"> </w:t>
      </w:r>
      <w:r w:rsidR="003C6B3E">
        <w:rPr>
          <w:rFonts w:ascii="Times New Roman" w:eastAsia="Times New Roman" w:hAnsi="Times New Roman" w:cs="Times New Roman"/>
          <w:sz w:val="24"/>
          <w:szCs w:val="24"/>
          <w:lang w:eastAsia="uk-UA"/>
        </w:rPr>
        <w:t>т</w:t>
      </w:r>
      <w:r w:rsidRPr="00ED0225">
        <w:rPr>
          <w:rFonts w:ascii="Times New Roman" w:eastAsia="Times New Roman" w:hAnsi="Times New Roman" w:cs="Times New Roman"/>
          <w:sz w:val="24"/>
          <w:szCs w:val="24"/>
          <w:lang w:eastAsia="uk-UA"/>
        </w:rPr>
        <w:t xml:space="preserve">а </w:t>
      </w:r>
      <w:r w:rsidR="003C6B3E">
        <w:rPr>
          <w:rFonts w:ascii="Times New Roman" w:eastAsia="Times New Roman" w:hAnsi="Times New Roman" w:cs="Times New Roman"/>
          <w:sz w:val="24"/>
          <w:szCs w:val="24"/>
          <w:lang w:eastAsia="uk-UA"/>
        </w:rPr>
        <w:t>на сьогоднішній день</w:t>
      </w:r>
      <w:r w:rsidRPr="00ED0225">
        <w:rPr>
          <w:rFonts w:ascii="Times New Roman" w:eastAsia="Times New Roman" w:hAnsi="Times New Roman" w:cs="Times New Roman"/>
          <w:sz w:val="24"/>
          <w:szCs w:val="24"/>
          <w:lang w:eastAsia="uk-UA"/>
        </w:rPr>
        <w:t xml:space="preserve"> капіталізація компаній, що торгуються на Варшавській фондові біржі</w:t>
      </w:r>
      <w:r w:rsidR="003C6B3E">
        <w:rPr>
          <w:rFonts w:ascii="Times New Roman" w:eastAsia="Times New Roman" w:hAnsi="Times New Roman" w:cs="Times New Roman"/>
          <w:sz w:val="24"/>
          <w:szCs w:val="24"/>
          <w:lang w:eastAsia="uk-UA"/>
        </w:rPr>
        <w:t>,</w:t>
      </w:r>
      <w:r w:rsidRPr="00ED0225">
        <w:rPr>
          <w:rFonts w:ascii="Times New Roman" w:eastAsia="Times New Roman" w:hAnsi="Times New Roman" w:cs="Times New Roman"/>
          <w:sz w:val="24"/>
          <w:szCs w:val="24"/>
          <w:lang w:eastAsia="uk-UA"/>
        </w:rPr>
        <w:t xml:space="preserve"> сягає 1103635,06 млн. злотих (приблизно 275 908 млн. дол.), то можна відмітити наступне.</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Емісія нових акцій акціонерних компаній </w:t>
      </w:r>
      <w:r w:rsidR="003C6B3E">
        <w:rPr>
          <w:rFonts w:ascii="Times New Roman" w:eastAsia="Times New Roman" w:hAnsi="Times New Roman" w:cs="Times New Roman"/>
          <w:sz w:val="24"/>
          <w:szCs w:val="24"/>
          <w:lang w:eastAsia="uk-UA"/>
        </w:rPr>
        <w:t xml:space="preserve">в </w:t>
      </w:r>
      <w:r w:rsidR="003C6B3E" w:rsidRPr="003C6B3E">
        <w:rPr>
          <w:rFonts w:ascii="Times New Roman" w:eastAsia="Times New Roman" w:hAnsi="Times New Roman" w:cs="Times New Roman"/>
          <w:b/>
          <w:sz w:val="24"/>
          <w:szCs w:val="24"/>
          <w:lang w:eastAsia="uk-UA"/>
        </w:rPr>
        <w:t>Польщі</w:t>
      </w:r>
      <w:r w:rsidR="003C6B3E">
        <w:rPr>
          <w:rFonts w:ascii="Times New Roman" w:eastAsia="Times New Roman" w:hAnsi="Times New Roman" w:cs="Times New Roman"/>
          <w:sz w:val="24"/>
          <w:szCs w:val="24"/>
          <w:lang w:eastAsia="uk-UA"/>
        </w:rPr>
        <w:t xml:space="preserve"> </w:t>
      </w:r>
      <w:r w:rsidRPr="00ED0225">
        <w:rPr>
          <w:rFonts w:ascii="Times New Roman" w:eastAsia="Times New Roman" w:hAnsi="Times New Roman" w:cs="Times New Roman"/>
          <w:sz w:val="24"/>
          <w:szCs w:val="24"/>
          <w:lang w:eastAsia="uk-UA"/>
        </w:rPr>
        <w:t>може відбуватися такими трьома способами (ст.431 Кодексу про господарські товариства):</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1)        Приватне розміщення, а саме розміщення серед наперед визначених осіб;</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2)        Закрите розміщення, а саме розміщення серед дійсних акціонерів, які мають </w:t>
      </w:r>
      <w:r w:rsidRPr="00ED0225">
        <w:rPr>
          <w:rFonts w:ascii="Times New Roman" w:eastAsia="Times New Roman" w:hAnsi="Times New Roman" w:cs="Times New Roman"/>
          <w:sz w:val="24"/>
          <w:szCs w:val="24"/>
          <w:lang w:eastAsia="uk-UA"/>
        </w:rPr>
        <w:lastRenderedPageBreak/>
        <w:t>переважне право купівлі;</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3)        Відкрите (публічне) розміщення, а саме розміщення серед невизначеного кола осіб.</w:t>
      </w:r>
    </w:p>
    <w:p w:rsidR="003B2B44"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Якщо це приватне або закрите розміщення, то достатньо внести зміни в реєстр компаній (аналог українському ЄДРПОУ)</w:t>
      </w:r>
      <w:r w:rsidR="003C6B3E">
        <w:rPr>
          <w:rFonts w:ascii="Times New Roman" w:eastAsia="Times New Roman" w:hAnsi="Times New Roman" w:cs="Times New Roman"/>
          <w:sz w:val="24"/>
          <w:szCs w:val="24"/>
          <w:lang w:eastAsia="uk-UA"/>
        </w:rPr>
        <w:t xml:space="preserve"> щодо збільшення розміру статутного капіталу за рахунок емісії цінних паперів</w:t>
      </w:r>
      <w:r w:rsidRPr="00ED0225">
        <w:rPr>
          <w:rFonts w:ascii="Times New Roman" w:eastAsia="Times New Roman" w:hAnsi="Times New Roman" w:cs="Times New Roman"/>
          <w:sz w:val="24"/>
          <w:szCs w:val="24"/>
          <w:lang w:eastAsia="uk-UA"/>
        </w:rPr>
        <w:t>. Якщо це відкрите (публічне) розміщення, то компанія має виконувати вимоги Закону про публічну пропозицію, зокрема розробити проспект емісії та затвердити його у Комісії з фінансового нагляду.</w:t>
      </w:r>
    </w:p>
    <w:p w:rsidR="003C6B3E"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Можна навести приклади інших країн-учасниць ЄС.</w:t>
      </w:r>
    </w:p>
    <w:p w:rsidR="003C6B3E"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3C6B3E">
        <w:rPr>
          <w:rFonts w:ascii="Times New Roman" w:eastAsia="Times New Roman" w:hAnsi="Times New Roman" w:cs="Times New Roman"/>
          <w:sz w:val="24"/>
          <w:szCs w:val="24"/>
          <w:lang w:eastAsia="uk-UA"/>
        </w:rPr>
        <w:t>У Великобританії існують публічні і приватні компанії, і лише публічні компанії можуть (але не зобов'язані) залучати акціонерний капітал через продаж цінних паперів невизначеному колу осіб, у тому числі на біржі.</w:t>
      </w:r>
    </w:p>
    <w:p w:rsidR="003C6B3E"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3C6B3E">
        <w:rPr>
          <w:rFonts w:ascii="Times New Roman" w:eastAsia="Times New Roman" w:hAnsi="Times New Roman" w:cs="Times New Roman"/>
          <w:sz w:val="24"/>
          <w:szCs w:val="24"/>
          <w:lang w:eastAsia="uk-UA"/>
        </w:rPr>
        <w:t xml:space="preserve">Приватне розміщення у </w:t>
      </w:r>
      <w:r w:rsidRPr="003C6B3E">
        <w:rPr>
          <w:rFonts w:ascii="Times New Roman" w:eastAsia="Times New Roman" w:hAnsi="Times New Roman" w:cs="Times New Roman"/>
          <w:b/>
          <w:sz w:val="24"/>
          <w:szCs w:val="24"/>
          <w:lang w:eastAsia="uk-UA"/>
        </w:rPr>
        <w:t>Великобританії</w:t>
      </w:r>
      <w:r w:rsidRPr="003C6B3E">
        <w:rPr>
          <w:rFonts w:ascii="Times New Roman" w:eastAsia="Times New Roman" w:hAnsi="Times New Roman" w:cs="Times New Roman"/>
          <w:sz w:val="24"/>
          <w:szCs w:val="24"/>
          <w:lang w:eastAsia="uk-UA"/>
        </w:rPr>
        <w:t xml:space="preserve"> не потребує реєстрації у фінансового регулятора, натомість потрібно лише внести зміни в реєстр компаній шляхом подачі спеціальної реєстраційної форми.</w:t>
      </w:r>
    </w:p>
    <w:p w:rsidR="003C6B3E"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3C6B3E">
        <w:rPr>
          <w:rFonts w:ascii="Times New Roman" w:eastAsia="Times New Roman" w:hAnsi="Times New Roman" w:cs="Times New Roman"/>
          <w:sz w:val="24"/>
          <w:szCs w:val="24"/>
          <w:lang w:eastAsia="uk-UA"/>
        </w:rPr>
        <w:t>Для публічного розміщення компанія має подати до фінансового регулятора (FCA) низку документів, у тому числі заповнену заяву про допуск цінних паперів до лістингу та проспект.</w:t>
      </w:r>
    </w:p>
    <w:p w:rsidR="003C6B3E"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3C6B3E">
        <w:rPr>
          <w:rFonts w:ascii="Times New Roman" w:eastAsia="Times New Roman" w:hAnsi="Times New Roman" w:cs="Times New Roman"/>
          <w:sz w:val="24"/>
          <w:szCs w:val="24"/>
          <w:lang w:eastAsia="uk-UA"/>
        </w:rPr>
        <w:t xml:space="preserve">Приватне розміщення цінних паперів у </w:t>
      </w:r>
      <w:r w:rsidRPr="003C6B3E">
        <w:rPr>
          <w:rFonts w:ascii="Times New Roman" w:eastAsia="Times New Roman" w:hAnsi="Times New Roman" w:cs="Times New Roman"/>
          <w:b/>
          <w:sz w:val="24"/>
          <w:szCs w:val="24"/>
          <w:lang w:eastAsia="uk-UA"/>
        </w:rPr>
        <w:t>Швейцарії</w:t>
      </w:r>
      <w:r w:rsidRPr="003C6B3E">
        <w:rPr>
          <w:rFonts w:ascii="Times New Roman" w:eastAsia="Times New Roman" w:hAnsi="Times New Roman" w:cs="Times New Roman"/>
          <w:sz w:val="24"/>
          <w:szCs w:val="24"/>
          <w:lang w:eastAsia="uk-UA"/>
        </w:rPr>
        <w:t xml:space="preserve"> не потребує підготовки проспекту чи спеціальної реєстрації. При цьому, у законодавстві немає чіткого розрізнення, коли розміщення повинно вважатись приватним, а коли – публічним. Одним з варіантів тлумачення є те, що розміщення цінних паперів серед більш ніж 20 осіб, повинне вважатися публічним. Для публічного розміщення цінних паперів потрібно підготувати проспект.</w:t>
      </w:r>
    </w:p>
    <w:p w:rsidR="003C6B3E" w:rsidRPr="00ED0225"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У </w:t>
      </w:r>
      <w:r w:rsidR="003C6B3E">
        <w:rPr>
          <w:rFonts w:ascii="Times New Roman" w:eastAsia="Times New Roman" w:hAnsi="Times New Roman" w:cs="Times New Roman"/>
          <w:sz w:val="24"/>
          <w:szCs w:val="24"/>
          <w:lang w:eastAsia="uk-UA"/>
        </w:rPr>
        <w:t>Розділ</w:t>
      </w:r>
      <w:r w:rsidR="003C6B3E">
        <w:rPr>
          <w:rFonts w:ascii="Times New Roman" w:eastAsia="Times New Roman" w:hAnsi="Times New Roman" w:cs="Times New Roman"/>
          <w:sz w:val="24"/>
          <w:szCs w:val="24"/>
          <w:lang w:eastAsia="uk-UA"/>
        </w:rPr>
        <w:t>і</w:t>
      </w:r>
      <w:r w:rsidR="003C6B3E">
        <w:rPr>
          <w:rFonts w:ascii="Times New Roman" w:eastAsia="Times New Roman" w:hAnsi="Times New Roman" w:cs="Times New Roman"/>
          <w:sz w:val="24"/>
          <w:szCs w:val="24"/>
          <w:lang w:eastAsia="uk-UA"/>
        </w:rPr>
        <w:t xml:space="preserve"> </w:t>
      </w:r>
      <w:r w:rsidR="003C6B3E" w:rsidRPr="003B2B44">
        <w:rPr>
          <w:rFonts w:ascii="Times New Roman" w:eastAsia="Times New Roman" w:hAnsi="Times New Roman" w:cs="Times New Roman"/>
          <w:sz w:val="24"/>
          <w:szCs w:val="24"/>
          <w:lang w:eastAsia="uk-UA"/>
        </w:rPr>
        <w:t>VI</w:t>
      </w:r>
      <w:r w:rsidR="003C6B3E" w:rsidRPr="00ED0225">
        <w:rPr>
          <w:rFonts w:ascii="Times New Roman" w:eastAsia="Times New Roman" w:hAnsi="Times New Roman" w:cs="Times New Roman"/>
          <w:sz w:val="24"/>
          <w:szCs w:val="24"/>
          <w:lang w:eastAsia="uk-UA"/>
        </w:rPr>
        <w:t xml:space="preserve"> </w:t>
      </w:r>
      <w:r w:rsidR="003C6B3E">
        <w:rPr>
          <w:rFonts w:ascii="Times New Roman" w:eastAsia="Times New Roman" w:hAnsi="Times New Roman" w:cs="Times New Roman"/>
          <w:sz w:val="24"/>
          <w:szCs w:val="24"/>
          <w:lang w:eastAsia="uk-UA"/>
        </w:rPr>
        <w:t>Законопроекту</w:t>
      </w:r>
      <w:r w:rsidRPr="00ED0225">
        <w:rPr>
          <w:rFonts w:ascii="Times New Roman" w:eastAsia="Times New Roman" w:hAnsi="Times New Roman" w:cs="Times New Roman"/>
          <w:sz w:val="24"/>
          <w:szCs w:val="24"/>
          <w:lang w:eastAsia="uk-UA"/>
        </w:rPr>
        <w:t xml:space="preserve"> </w:t>
      </w:r>
      <w:r w:rsidR="003C6B3E">
        <w:rPr>
          <w:rFonts w:ascii="Times New Roman" w:eastAsia="Times New Roman" w:hAnsi="Times New Roman" w:cs="Times New Roman"/>
          <w:sz w:val="24"/>
          <w:szCs w:val="24"/>
          <w:lang w:eastAsia="uk-UA"/>
        </w:rPr>
        <w:t xml:space="preserve">№2284 зазначені </w:t>
      </w:r>
      <w:r w:rsidRPr="00ED0225">
        <w:rPr>
          <w:rFonts w:ascii="Times New Roman" w:eastAsia="Times New Roman" w:hAnsi="Times New Roman" w:cs="Times New Roman"/>
          <w:sz w:val="24"/>
          <w:szCs w:val="24"/>
          <w:lang w:eastAsia="uk-UA"/>
        </w:rPr>
        <w:t>етапи емісії цінних паперів в Україні. Зокрема, під час будь-якої емісії (з метою публічного чи приватного розміщення) НКЦПФР:</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i)        реєструє випуск цінних паперів та видає тимчасове свідоцтво про реєстрацію випуску;</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proofErr w:type="spellStart"/>
      <w:r w:rsidRPr="00ED0225">
        <w:rPr>
          <w:rFonts w:ascii="Times New Roman" w:eastAsia="Times New Roman" w:hAnsi="Times New Roman" w:cs="Times New Roman"/>
          <w:sz w:val="24"/>
          <w:szCs w:val="24"/>
          <w:lang w:eastAsia="uk-UA"/>
        </w:rPr>
        <w:t>ii</w:t>
      </w:r>
      <w:proofErr w:type="spellEnd"/>
      <w:r w:rsidRPr="00ED0225">
        <w:rPr>
          <w:rFonts w:ascii="Times New Roman" w:eastAsia="Times New Roman" w:hAnsi="Times New Roman" w:cs="Times New Roman"/>
          <w:sz w:val="24"/>
          <w:szCs w:val="24"/>
          <w:lang w:eastAsia="uk-UA"/>
        </w:rPr>
        <w:t>)        реєструє звіт про результати емісії та видає свідоцтво про реєстрацію випуску.</w:t>
      </w:r>
    </w:p>
    <w:p w:rsidR="003B2B44" w:rsidRPr="00ED0225"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НКЦПФР може відмовити у реєстрації випуску, у тому числі, якщо у поданих документах наявна недостовірна інформація або емісія визнана недобросовісною. </w:t>
      </w:r>
      <w:r w:rsidR="003C6B3E">
        <w:rPr>
          <w:rFonts w:ascii="Times New Roman" w:eastAsia="Times New Roman" w:hAnsi="Times New Roman" w:cs="Times New Roman"/>
          <w:sz w:val="24"/>
          <w:szCs w:val="24"/>
          <w:lang w:eastAsia="uk-UA"/>
        </w:rPr>
        <w:t>НКЦПФР</w:t>
      </w:r>
      <w:r w:rsidRPr="00ED0225">
        <w:rPr>
          <w:rFonts w:ascii="Times New Roman" w:eastAsia="Times New Roman" w:hAnsi="Times New Roman" w:cs="Times New Roman"/>
          <w:sz w:val="24"/>
          <w:szCs w:val="24"/>
          <w:lang w:eastAsia="uk-UA"/>
        </w:rPr>
        <w:t xml:space="preserve"> також може відмовити в реєстрації звіту про результати емісії за певних умов.</w:t>
      </w:r>
    </w:p>
    <w:p w:rsidR="003B2B44" w:rsidRDefault="003B2B44"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sidRPr="00ED0225">
        <w:rPr>
          <w:rFonts w:ascii="Times New Roman" w:eastAsia="Times New Roman" w:hAnsi="Times New Roman" w:cs="Times New Roman"/>
          <w:sz w:val="24"/>
          <w:szCs w:val="24"/>
          <w:lang w:eastAsia="uk-UA"/>
        </w:rPr>
        <w:t xml:space="preserve">При цьому, якщо здійснюється публічна пропозиція цінних паперів, то емітент зобов’язаний також </w:t>
      </w:r>
      <w:r w:rsidR="003C6B3E">
        <w:rPr>
          <w:rFonts w:ascii="Times New Roman" w:eastAsia="Times New Roman" w:hAnsi="Times New Roman" w:cs="Times New Roman"/>
          <w:sz w:val="24"/>
          <w:szCs w:val="24"/>
          <w:lang w:eastAsia="uk-UA"/>
        </w:rPr>
        <w:t xml:space="preserve">(додатково) </w:t>
      </w:r>
      <w:r w:rsidRPr="00ED0225">
        <w:rPr>
          <w:rFonts w:ascii="Times New Roman" w:eastAsia="Times New Roman" w:hAnsi="Times New Roman" w:cs="Times New Roman"/>
          <w:sz w:val="24"/>
          <w:szCs w:val="24"/>
          <w:lang w:eastAsia="uk-UA"/>
        </w:rPr>
        <w:t xml:space="preserve">оформити проспект </w:t>
      </w:r>
      <w:r w:rsidR="003C6B3E">
        <w:rPr>
          <w:rFonts w:ascii="Times New Roman" w:eastAsia="Times New Roman" w:hAnsi="Times New Roman" w:cs="Times New Roman"/>
          <w:sz w:val="24"/>
          <w:szCs w:val="24"/>
          <w:lang w:eastAsia="uk-UA"/>
        </w:rPr>
        <w:t xml:space="preserve">емісії цінних паперів </w:t>
      </w:r>
      <w:r w:rsidRPr="00ED0225">
        <w:rPr>
          <w:rFonts w:ascii="Times New Roman" w:eastAsia="Times New Roman" w:hAnsi="Times New Roman" w:cs="Times New Roman"/>
          <w:sz w:val="24"/>
          <w:szCs w:val="24"/>
          <w:lang w:eastAsia="uk-UA"/>
        </w:rPr>
        <w:t xml:space="preserve">і подати його на затвердження НКЦПФР. </w:t>
      </w:r>
    </w:p>
    <w:p w:rsidR="003C6B3E"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Отже, Законопроект</w:t>
      </w:r>
      <w:r w:rsidRPr="00ED0225">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t>№2284</w:t>
      </w:r>
      <w:r>
        <w:rPr>
          <w:rFonts w:ascii="Times New Roman" w:eastAsia="Times New Roman" w:hAnsi="Times New Roman" w:cs="Times New Roman"/>
          <w:sz w:val="24"/>
          <w:szCs w:val="24"/>
          <w:lang w:eastAsia="uk-UA"/>
        </w:rPr>
        <w:t xml:space="preserve"> передбачає, що емітент цінних паперів буде звертатись до НКЦПФР при приватному розміщенні цінних паперів мінімум 2 рази з метою здійснення НКЦПФР реєстраційних дій: 1. Для реєстрації випуску цінних паперів та отримання тимчасового свідоцтва про реєстрацію випуску та 2. Для реєстрації звіту про результати емісії. У той же час у країнах ЄС емітенти взагалі на звертаються за такими діями до фінансового регулятора та не здійснюють жодних реєстраційних процедур.</w:t>
      </w:r>
    </w:p>
    <w:p w:rsidR="003C6B3E" w:rsidRDefault="003C6B3E"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p>
    <w:p w:rsidR="003B2B44" w:rsidRDefault="00E0714C"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З огляду на наведене вище можна</w:t>
      </w:r>
      <w:r w:rsidR="003B2B44" w:rsidRPr="00ED0225">
        <w:rPr>
          <w:rFonts w:ascii="Times New Roman" w:eastAsia="Times New Roman" w:hAnsi="Times New Roman" w:cs="Times New Roman"/>
          <w:sz w:val="24"/>
          <w:szCs w:val="24"/>
          <w:lang w:eastAsia="uk-UA"/>
        </w:rPr>
        <w:t xml:space="preserve"> зробити висновок, що жодного спрощення залучення інвестицій для підприємств</w:t>
      </w:r>
      <w:r>
        <w:rPr>
          <w:rFonts w:ascii="Times New Roman" w:eastAsia="Times New Roman" w:hAnsi="Times New Roman" w:cs="Times New Roman"/>
          <w:sz w:val="24"/>
          <w:szCs w:val="24"/>
          <w:lang w:eastAsia="uk-UA"/>
        </w:rPr>
        <w:t>-емітентів</w:t>
      </w:r>
      <w:r w:rsidR="003B2B44" w:rsidRPr="00ED0225">
        <w:rPr>
          <w:rFonts w:ascii="Times New Roman" w:eastAsia="Times New Roman" w:hAnsi="Times New Roman" w:cs="Times New Roman"/>
          <w:sz w:val="24"/>
          <w:szCs w:val="24"/>
          <w:lang w:eastAsia="uk-UA"/>
        </w:rPr>
        <w:t xml:space="preserve"> не передбачається, бо Законопроект </w:t>
      </w:r>
      <w:r>
        <w:rPr>
          <w:rFonts w:ascii="Times New Roman" w:eastAsia="Times New Roman" w:hAnsi="Times New Roman" w:cs="Times New Roman"/>
          <w:sz w:val="24"/>
          <w:szCs w:val="24"/>
          <w:lang w:eastAsia="uk-UA"/>
        </w:rPr>
        <w:t xml:space="preserve">№2284,  </w:t>
      </w:r>
      <w:r w:rsidR="003B2B44" w:rsidRPr="00ED0225">
        <w:rPr>
          <w:rFonts w:ascii="Times New Roman" w:eastAsia="Times New Roman" w:hAnsi="Times New Roman" w:cs="Times New Roman"/>
          <w:sz w:val="24"/>
          <w:szCs w:val="24"/>
          <w:lang w:eastAsia="uk-UA"/>
        </w:rPr>
        <w:t>так само як і попередні закони та нормативно-правові акти НКЦПФР</w:t>
      </w:r>
      <w:r>
        <w:rPr>
          <w:rFonts w:ascii="Times New Roman" w:eastAsia="Times New Roman" w:hAnsi="Times New Roman" w:cs="Times New Roman"/>
          <w:sz w:val="24"/>
          <w:szCs w:val="24"/>
          <w:lang w:eastAsia="uk-UA"/>
        </w:rPr>
        <w:t>,</w:t>
      </w:r>
      <w:r w:rsidR="003B2B44" w:rsidRPr="00ED0225">
        <w:rPr>
          <w:rFonts w:ascii="Times New Roman" w:eastAsia="Times New Roman" w:hAnsi="Times New Roman" w:cs="Times New Roman"/>
          <w:sz w:val="24"/>
          <w:szCs w:val="24"/>
          <w:lang w:eastAsia="uk-UA"/>
        </w:rPr>
        <w:t xml:space="preserve"> закріплює надмірне регулювання, складність процедур та тривалий строк випуску цінних паперів. А отже, </w:t>
      </w:r>
      <w:r>
        <w:rPr>
          <w:rFonts w:ascii="Times New Roman" w:eastAsia="Times New Roman" w:hAnsi="Times New Roman" w:cs="Times New Roman"/>
          <w:sz w:val="24"/>
          <w:szCs w:val="24"/>
          <w:lang w:eastAsia="uk-UA"/>
        </w:rPr>
        <w:t xml:space="preserve">є висока ймовірність, що збережеться тенденція майже </w:t>
      </w:r>
      <w:r w:rsidR="003B2B44" w:rsidRPr="00ED0225">
        <w:rPr>
          <w:rFonts w:ascii="Times New Roman" w:eastAsia="Times New Roman" w:hAnsi="Times New Roman" w:cs="Times New Roman"/>
          <w:sz w:val="24"/>
          <w:szCs w:val="24"/>
          <w:lang w:eastAsia="uk-UA"/>
        </w:rPr>
        <w:t>нульов</w:t>
      </w:r>
      <w:r>
        <w:rPr>
          <w:rFonts w:ascii="Times New Roman" w:eastAsia="Times New Roman" w:hAnsi="Times New Roman" w:cs="Times New Roman"/>
          <w:sz w:val="24"/>
          <w:szCs w:val="24"/>
          <w:lang w:eastAsia="uk-UA"/>
        </w:rPr>
        <w:t>ої кілько</w:t>
      </w:r>
      <w:r w:rsidR="003B2B44" w:rsidRPr="00ED0225">
        <w:rPr>
          <w:rFonts w:ascii="Times New Roman" w:eastAsia="Times New Roman" w:hAnsi="Times New Roman" w:cs="Times New Roman"/>
          <w:sz w:val="24"/>
          <w:szCs w:val="24"/>
          <w:lang w:eastAsia="uk-UA"/>
        </w:rPr>
        <w:t>ст</w:t>
      </w:r>
      <w:r>
        <w:rPr>
          <w:rFonts w:ascii="Times New Roman" w:eastAsia="Times New Roman" w:hAnsi="Times New Roman" w:cs="Times New Roman"/>
          <w:sz w:val="24"/>
          <w:szCs w:val="24"/>
          <w:lang w:eastAsia="uk-UA"/>
        </w:rPr>
        <w:t>і</w:t>
      </w:r>
      <w:r w:rsidR="003B2B44" w:rsidRPr="00ED0225">
        <w:rPr>
          <w:rFonts w:ascii="Times New Roman" w:eastAsia="Times New Roman" w:hAnsi="Times New Roman" w:cs="Times New Roman"/>
          <w:sz w:val="24"/>
          <w:szCs w:val="24"/>
          <w:lang w:eastAsia="uk-UA"/>
        </w:rPr>
        <w:t xml:space="preserve"> підприємств</w:t>
      </w:r>
      <w:r>
        <w:rPr>
          <w:rFonts w:ascii="Times New Roman" w:eastAsia="Times New Roman" w:hAnsi="Times New Roman" w:cs="Times New Roman"/>
          <w:sz w:val="24"/>
          <w:szCs w:val="24"/>
          <w:lang w:eastAsia="uk-UA"/>
        </w:rPr>
        <w:t>, які</w:t>
      </w:r>
      <w:r w:rsidR="003B2B44" w:rsidRPr="00ED0225">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t>приймуть рішення</w:t>
      </w:r>
      <w:r w:rsidR="003B2B44" w:rsidRPr="00ED0225">
        <w:rPr>
          <w:rFonts w:ascii="Times New Roman" w:eastAsia="Times New Roman" w:hAnsi="Times New Roman" w:cs="Times New Roman"/>
          <w:sz w:val="24"/>
          <w:szCs w:val="24"/>
          <w:lang w:eastAsia="uk-UA"/>
        </w:rPr>
        <w:t xml:space="preserve"> залучати капітал на фондовому ринку України</w:t>
      </w:r>
      <w:r>
        <w:rPr>
          <w:rFonts w:ascii="Times New Roman" w:eastAsia="Times New Roman" w:hAnsi="Times New Roman" w:cs="Times New Roman"/>
          <w:sz w:val="24"/>
          <w:szCs w:val="24"/>
          <w:lang w:eastAsia="uk-UA"/>
        </w:rPr>
        <w:t xml:space="preserve"> шляхом емісії цінних паперів</w:t>
      </w:r>
      <w:r w:rsidR="003B2B44" w:rsidRPr="00ED0225">
        <w:rPr>
          <w:rFonts w:ascii="Times New Roman" w:eastAsia="Times New Roman" w:hAnsi="Times New Roman" w:cs="Times New Roman"/>
          <w:sz w:val="24"/>
          <w:szCs w:val="24"/>
          <w:lang w:eastAsia="uk-UA"/>
        </w:rPr>
        <w:t>. Вони, як і зараз, будуть обирати інші шляхи залучення капіталу, або інші юрисдикції, де процедури простіші, втручання держави мінімальне та вартість залучення капіталу нижча.</w:t>
      </w:r>
    </w:p>
    <w:p w:rsidR="00E0714C" w:rsidRDefault="00E0714C" w:rsidP="003B2B44">
      <w:pPr>
        <w:widowControl w:val="0"/>
        <w:tabs>
          <w:tab w:val="left" w:pos="900"/>
        </w:tabs>
        <w:spacing w:after="60" w:line="240" w:lineRule="auto"/>
        <w:ind w:firstLine="567"/>
        <w:contextualSpacing/>
        <w:jc w:val="both"/>
        <w:rPr>
          <w:rFonts w:ascii="Times New Roman" w:eastAsia="Times New Roman" w:hAnsi="Times New Roman" w:cs="Times New Roman"/>
          <w:sz w:val="24"/>
          <w:szCs w:val="24"/>
          <w:lang w:eastAsia="uk-UA"/>
        </w:rPr>
      </w:pPr>
    </w:p>
    <w:p w:rsidR="00D03A6C" w:rsidRPr="003B2B44" w:rsidRDefault="00E0714C" w:rsidP="00971DF3">
      <w:pPr>
        <w:widowControl w:val="0"/>
        <w:tabs>
          <w:tab w:val="left" w:pos="900"/>
        </w:tabs>
        <w:spacing w:after="60" w:line="240" w:lineRule="auto"/>
        <w:ind w:firstLine="567"/>
        <w:contextualSpacing/>
        <w:jc w:val="both"/>
      </w:pPr>
      <w:r>
        <w:rPr>
          <w:rFonts w:ascii="Times New Roman" w:eastAsia="Times New Roman" w:hAnsi="Times New Roman" w:cs="Times New Roman"/>
          <w:sz w:val="24"/>
          <w:szCs w:val="24"/>
          <w:lang w:eastAsia="uk-UA"/>
        </w:rPr>
        <w:t xml:space="preserve">Пропозиції до </w:t>
      </w:r>
      <w:r>
        <w:rPr>
          <w:rFonts w:ascii="Times New Roman" w:eastAsia="Times New Roman" w:hAnsi="Times New Roman" w:cs="Times New Roman"/>
          <w:sz w:val="24"/>
          <w:szCs w:val="24"/>
          <w:lang w:eastAsia="uk-UA"/>
        </w:rPr>
        <w:t>Законопроект</w:t>
      </w:r>
      <w:r>
        <w:rPr>
          <w:rFonts w:ascii="Times New Roman" w:eastAsia="Times New Roman" w:hAnsi="Times New Roman" w:cs="Times New Roman"/>
          <w:sz w:val="24"/>
          <w:szCs w:val="24"/>
          <w:lang w:eastAsia="uk-UA"/>
        </w:rPr>
        <w:t xml:space="preserve">у </w:t>
      </w:r>
      <w:r>
        <w:rPr>
          <w:rFonts w:ascii="Times New Roman" w:eastAsia="Times New Roman" w:hAnsi="Times New Roman" w:cs="Times New Roman"/>
          <w:sz w:val="24"/>
          <w:szCs w:val="24"/>
          <w:lang w:eastAsia="uk-UA"/>
        </w:rPr>
        <w:t>№2284</w:t>
      </w:r>
      <w:r w:rsidR="00971DF3">
        <w:rPr>
          <w:rFonts w:ascii="Times New Roman" w:eastAsia="Times New Roman" w:hAnsi="Times New Roman" w:cs="Times New Roman"/>
          <w:sz w:val="24"/>
          <w:szCs w:val="24"/>
          <w:lang w:eastAsia="uk-UA"/>
        </w:rPr>
        <w:t xml:space="preserve"> викладені в порівняльній таблиці:</w:t>
      </w:r>
    </w:p>
    <w:sectPr w:rsidR="00D03A6C" w:rsidRPr="003B2B44" w:rsidSect="00971DF3">
      <w:pgSz w:w="11906" w:h="16838"/>
      <w:pgMar w:top="1134" w:right="850"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506"/>
    <w:rsid w:val="002B0444"/>
    <w:rsid w:val="003B2B44"/>
    <w:rsid w:val="003C6B3E"/>
    <w:rsid w:val="003E6506"/>
    <w:rsid w:val="007B17C9"/>
    <w:rsid w:val="00971DF3"/>
    <w:rsid w:val="00D03A6C"/>
    <w:rsid w:val="00E07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B44"/>
    <w:rPr>
      <w:lang w:val="uk-UA"/>
    </w:rPr>
  </w:style>
  <w:style w:type="paragraph" w:styleId="1">
    <w:name w:val="heading 1"/>
    <w:basedOn w:val="a"/>
    <w:next w:val="a"/>
    <w:link w:val="10"/>
    <w:uiPriority w:val="9"/>
    <w:qFormat/>
    <w:rsid w:val="003B2B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1"/>
    <w:link w:val="12"/>
    <w:qFormat/>
    <w:rsid w:val="003B2B44"/>
    <w:pPr>
      <w:spacing w:before="240" w:line="240" w:lineRule="auto"/>
      <w:ind w:firstLine="567"/>
      <w:jc w:val="both"/>
    </w:pPr>
    <w:rPr>
      <w:rFonts w:ascii="Times New Roman" w:hAnsi="Times New Roman" w:cs="Times New Roman"/>
      <w:b w:val="0"/>
      <w:bCs w:val="0"/>
      <w:color w:val="auto"/>
    </w:rPr>
  </w:style>
  <w:style w:type="character" w:customStyle="1" w:styleId="12">
    <w:name w:val="1 Знак"/>
    <w:basedOn w:val="a0"/>
    <w:link w:val="11"/>
    <w:rsid w:val="003B2B44"/>
    <w:rPr>
      <w:rFonts w:ascii="Times New Roman" w:eastAsiaTheme="majorEastAsia" w:hAnsi="Times New Roman" w:cs="Times New Roman"/>
      <w:sz w:val="28"/>
      <w:szCs w:val="28"/>
      <w:lang w:val="uk-UA"/>
    </w:rPr>
  </w:style>
  <w:style w:type="character" w:customStyle="1" w:styleId="10">
    <w:name w:val="Заголовок 1 Знак"/>
    <w:basedOn w:val="a0"/>
    <w:link w:val="1"/>
    <w:uiPriority w:val="9"/>
    <w:rsid w:val="003B2B44"/>
    <w:rPr>
      <w:rFonts w:asciiTheme="majorHAnsi" w:eastAsiaTheme="majorEastAsia" w:hAnsiTheme="majorHAnsi" w:cstheme="majorBidi"/>
      <w:b/>
      <w:bCs/>
      <w:color w:val="365F91" w:themeColor="accent1" w:themeShade="BF"/>
      <w:sz w:val="28"/>
      <w:szCs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B44"/>
    <w:rPr>
      <w:lang w:val="uk-UA"/>
    </w:rPr>
  </w:style>
  <w:style w:type="paragraph" w:styleId="1">
    <w:name w:val="heading 1"/>
    <w:basedOn w:val="a"/>
    <w:next w:val="a"/>
    <w:link w:val="10"/>
    <w:uiPriority w:val="9"/>
    <w:qFormat/>
    <w:rsid w:val="003B2B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1"/>
    <w:link w:val="12"/>
    <w:qFormat/>
    <w:rsid w:val="003B2B44"/>
    <w:pPr>
      <w:spacing w:before="240" w:line="240" w:lineRule="auto"/>
      <w:ind w:firstLine="567"/>
      <w:jc w:val="both"/>
    </w:pPr>
    <w:rPr>
      <w:rFonts w:ascii="Times New Roman" w:hAnsi="Times New Roman" w:cs="Times New Roman"/>
      <w:b w:val="0"/>
      <w:bCs w:val="0"/>
      <w:color w:val="auto"/>
    </w:rPr>
  </w:style>
  <w:style w:type="character" w:customStyle="1" w:styleId="12">
    <w:name w:val="1 Знак"/>
    <w:basedOn w:val="a0"/>
    <w:link w:val="11"/>
    <w:rsid w:val="003B2B44"/>
    <w:rPr>
      <w:rFonts w:ascii="Times New Roman" w:eastAsiaTheme="majorEastAsia" w:hAnsi="Times New Roman" w:cs="Times New Roman"/>
      <w:sz w:val="28"/>
      <w:szCs w:val="28"/>
      <w:lang w:val="uk-UA"/>
    </w:rPr>
  </w:style>
  <w:style w:type="character" w:customStyle="1" w:styleId="10">
    <w:name w:val="Заголовок 1 Знак"/>
    <w:basedOn w:val="a0"/>
    <w:link w:val="1"/>
    <w:uiPriority w:val="9"/>
    <w:rsid w:val="003B2B44"/>
    <w:rPr>
      <w:rFonts w:asciiTheme="majorHAnsi" w:eastAsiaTheme="majorEastAsia" w:hAnsiTheme="majorHAnsi" w:cstheme="majorBidi"/>
      <w:b/>
      <w:bCs/>
      <w:color w:val="365F91" w:themeColor="accent1" w:themeShade="BF"/>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1122</Words>
  <Characters>6396</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Розділ VI ЕМІСІЯ ТА ОБІГ ЦІННИХ ПАПЕРІВ проекту Закону України  «Про внесення зм</vt:lpstr>
    </vt:vector>
  </TitlesOfParts>
  <Company/>
  <LinksUpToDate>false</LinksUpToDate>
  <CharactersWithSpaces>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Ревило Елизавета</dc:creator>
  <cp:lastModifiedBy>Ревило Елизавета</cp:lastModifiedBy>
  <cp:revision>2</cp:revision>
  <dcterms:created xsi:type="dcterms:W3CDTF">2019-10-23T13:00:00Z</dcterms:created>
  <dcterms:modified xsi:type="dcterms:W3CDTF">2019-10-24T10:12:00Z</dcterms:modified>
</cp:coreProperties>
</file>